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85" w:rsidRDefault="00604D85" w:rsidP="00604D85">
      <w:pPr>
        <w:pStyle w:val="BodyTextIndent2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ROMÂNIA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Hotărârea  se adoptă   cu  majoritate simpla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>JUDEȚUL VASLUI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a consilierilor prezenti la sedinta </w:t>
      </w:r>
    </w:p>
    <w:p w:rsidR="00604D85" w:rsidRDefault="00604D85" w:rsidP="00604D8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>COMUNA GĂGEȘTI</w:t>
      </w:r>
    </w:p>
    <w:p w:rsidR="00604D85" w:rsidRDefault="00604D85" w:rsidP="00604D8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>PRIMAR</w:t>
      </w:r>
    </w:p>
    <w:p w:rsidR="00604D85" w:rsidRDefault="00604D85" w:rsidP="00604D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PROIECT DE HOTARARE nr.52/14.07.2022</w:t>
      </w:r>
    </w:p>
    <w:p w:rsidR="00604D85" w:rsidRDefault="00604D85" w:rsidP="0060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privind insusirea  </w:t>
      </w:r>
      <w:r>
        <w:rPr>
          <w:rFonts w:ascii="Times New Roman" w:hAnsi="Times New Roman" w:cs="Times New Roman"/>
          <w:sz w:val="28"/>
          <w:szCs w:val="28"/>
        </w:rPr>
        <w:t xml:space="preserve">Raportului de activitate al asistentilor personali </w:t>
      </w:r>
      <w:r>
        <w:rPr>
          <w:rFonts w:ascii="Times New Roman" w:hAnsi="Times New Roman" w:cs="Times New Roman"/>
          <w:color w:val="000000"/>
          <w:sz w:val="28"/>
          <w:szCs w:val="28"/>
        </w:rPr>
        <w:t>ai persoanelor cu handicap grav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pe semestrul I 2022</w:t>
      </w:r>
    </w:p>
    <w:p w:rsidR="00604D85" w:rsidRDefault="00604D85" w:rsidP="0060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Avand in vedere:</w:t>
      </w:r>
    </w:p>
    <w:p w:rsidR="00604D85" w:rsidRDefault="00604D85" w:rsidP="00604D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referatul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Găgești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initiator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;</w:t>
      </w:r>
    </w:p>
    <w:p w:rsidR="00604D85" w:rsidRDefault="00604D85" w:rsidP="00604D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raportul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resort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;</w:t>
      </w:r>
    </w:p>
    <w:p w:rsidR="00604D85" w:rsidRDefault="00604D85" w:rsidP="0060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rapoartele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avizare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comisiei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cadrul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;</w:t>
      </w:r>
    </w:p>
    <w:p w:rsidR="00604D85" w:rsidRDefault="00604D85" w:rsidP="00604D8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- Raportul de activitate al asistentilor persoanli ai persoanelor cu handicap grav, </w:t>
      </w:r>
      <w:r>
        <w:rPr>
          <w:rFonts w:ascii="Times New Roman" w:hAnsi="Times New Roman" w:cs="Times New Roman"/>
          <w:sz w:val="28"/>
          <w:szCs w:val="28"/>
          <w:lang w:val="pt-BR"/>
        </w:rPr>
        <w:t>pe semestrul I 2022,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intocmit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doamna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Ramona-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Inspector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asistent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aparatul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04D85" w:rsidRDefault="00604D85" w:rsidP="00604D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În baza prevederilor:</w:t>
      </w:r>
    </w:p>
    <w:p w:rsidR="00604D85" w:rsidRDefault="00604D85" w:rsidP="0060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art. 40 alin. (2) din Legea nr. 448/2006 privind protec</w:t>
      </w:r>
      <w:r>
        <w:rPr>
          <w:rFonts w:ascii="TimesNewRomanPSMT" w:hAnsi="TimesNewRomanPSMT" w:cs="TimesNewRomanPSMT"/>
          <w:sz w:val="28"/>
          <w:szCs w:val="28"/>
        </w:rPr>
        <w:t>ţ</w:t>
      </w:r>
      <w:r>
        <w:rPr>
          <w:rFonts w:ascii="Times New Roman" w:hAnsi="Times New Roman" w:cs="Times New Roman"/>
          <w:sz w:val="28"/>
          <w:szCs w:val="28"/>
        </w:rPr>
        <w:t xml:space="preserve">ia </w:t>
      </w:r>
      <w:r>
        <w:rPr>
          <w:rFonts w:ascii="TimesNewRomanPSMT" w:hAnsi="TimesNewRomanPSMT" w:cs="TimesNewRomanPSMT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promovarea drepturilor persoanelor cu handicap, republicat</w:t>
      </w:r>
      <w:r>
        <w:rPr>
          <w:rFonts w:ascii="TimesNewRomanPSMT" w:hAnsi="TimesNewRomanPSMT" w:cs="TimesNewRomanPSMT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>, cu modificarile</w:t>
      </w:r>
      <w:r>
        <w:rPr>
          <w:rFonts w:ascii="TimesNewRomanPSMT" w:hAnsi="TimesNewRomanPSMT" w:cs="TimesNewRomanPSMT"/>
          <w:sz w:val="28"/>
          <w:szCs w:val="28"/>
        </w:rPr>
        <w:t xml:space="preserve"> ş</w:t>
      </w:r>
      <w:r>
        <w:rPr>
          <w:rFonts w:ascii="Times New Roman" w:hAnsi="Times New Roman" w:cs="Times New Roman"/>
          <w:sz w:val="28"/>
          <w:szCs w:val="28"/>
        </w:rPr>
        <w:t>i completarile ulterioare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D85" w:rsidRDefault="00604D85" w:rsidP="00604D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art. 29 alin. (1) din H.G. nr. 268/2007 pentru aprobarea normelor metodologice de aplicare a prevederilor Legii nr.448/06.12.2006 privind protec</w:t>
      </w:r>
      <w:r>
        <w:rPr>
          <w:rFonts w:ascii="TimesNewRomanPSMT" w:hAnsi="TimesNewRomanPSMT" w:cs="TimesNewRomanPSMT"/>
          <w:sz w:val="28"/>
          <w:szCs w:val="28"/>
        </w:rPr>
        <w:t>ţ</w:t>
      </w:r>
      <w:r>
        <w:rPr>
          <w:rFonts w:ascii="Times New Roman" w:hAnsi="Times New Roman" w:cs="Times New Roman"/>
          <w:sz w:val="28"/>
          <w:szCs w:val="28"/>
        </w:rPr>
        <w:t xml:space="preserve">ia </w:t>
      </w:r>
      <w:r>
        <w:rPr>
          <w:rFonts w:ascii="TimesNewRomanPSMT" w:hAnsi="TimesNewRomanPSMT" w:cs="TimesNewRomanPSMT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promovarea drepturilor persoanelor cu handicap, cu modific</w:t>
      </w:r>
      <w:r>
        <w:rPr>
          <w:rFonts w:ascii="TimesNewRomanPSMT" w:hAnsi="TimesNewRomanPSMT" w:cs="TimesNewRomanPSMT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NewRomanPSMT" w:hAnsi="TimesNewRomanPSMT" w:cs="TimesNewRomanPSMT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completarile ulterioare;</w:t>
      </w:r>
    </w:p>
    <w:p w:rsidR="00604D85" w:rsidRDefault="00604D85" w:rsidP="00604D8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- in  temeiul  art.129 alin.(7) lit.,,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art.139 alin.(1),  art. 196 alin.(1)  lit.,,a’’, art.197  alin.(1), (2) și (4) din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 modific</w:t>
      </w:r>
      <w:r>
        <w:rPr>
          <w:rFonts w:ascii="TimesNewRomanPSMT" w:hAnsi="TimesNewRomanPSMT" w:cs="TimesNewRomanPSMT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NewRomanPSMT" w:hAnsi="TimesNewRomanPSMT" w:cs="TimesNewRomanPSMT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completarile ulterioare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</w:p>
    <w:p w:rsidR="00604D85" w:rsidRDefault="00604D85" w:rsidP="00604D85">
      <w:pPr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Consiliul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Gagesti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Vaslui,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intrunit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sedinta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ordinara</w:t>
      </w:r>
      <w:proofErr w:type="spellEnd"/>
    </w:p>
    <w:p w:rsidR="00604D85" w:rsidRDefault="00604D85" w:rsidP="00604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HOTARASTE</w:t>
      </w:r>
    </w:p>
    <w:p w:rsidR="00604D85" w:rsidRDefault="00604D85" w:rsidP="00604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Art. 1 </w:t>
      </w:r>
      <w:r>
        <w:rPr>
          <w:rFonts w:ascii="Times New Roman" w:hAnsi="Times New Roman" w:cs="Times New Roman"/>
          <w:sz w:val="28"/>
          <w:szCs w:val="28"/>
        </w:rPr>
        <w:t>– Se insuseste Raportul privind activitatea desf</w:t>
      </w:r>
      <w:r>
        <w:rPr>
          <w:rFonts w:ascii="TimesNewRomanPSMT" w:hAnsi="TimesNewRomanPSMT" w:cs="TimesNewRomanPSMT"/>
          <w:sz w:val="28"/>
          <w:szCs w:val="28"/>
        </w:rPr>
        <w:t>ăş</w:t>
      </w:r>
      <w:r>
        <w:rPr>
          <w:rFonts w:ascii="Times New Roman" w:hAnsi="Times New Roman" w:cs="Times New Roman"/>
          <w:sz w:val="28"/>
          <w:szCs w:val="28"/>
        </w:rPr>
        <w:t>urat</w:t>
      </w:r>
      <w:r>
        <w:rPr>
          <w:rFonts w:ascii="TimesNewRomanPSMT" w:hAnsi="TimesNewRomanPSMT" w:cs="TimesNewRomanPSMT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>de asisten</w:t>
      </w:r>
      <w:r>
        <w:rPr>
          <w:rFonts w:ascii="TimesNewRomanPSMT" w:hAnsi="TimesNewRomanPSMT" w:cs="TimesNewRomanPSMT"/>
          <w:sz w:val="28"/>
          <w:szCs w:val="28"/>
        </w:rPr>
        <w:t>ţ</w:t>
      </w:r>
      <w:r>
        <w:rPr>
          <w:rFonts w:ascii="Times New Roman" w:hAnsi="Times New Roman" w:cs="Times New Roman"/>
          <w:sz w:val="28"/>
          <w:szCs w:val="28"/>
        </w:rPr>
        <w:t>ii personali ai persoanelor cu handicap grav pe semestrul I al anului 2022 , prevazut  in anexa  care face parte integrant</w:t>
      </w:r>
      <w:r>
        <w:rPr>
          <w:rFonts w:ascii="TimesNewRomanPSMT" w:hAnsi="TimesNewRomanPSMT" w:cs="TimesNewRomanPSMT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>din prezenta hot</w:t>
      </w:r>
      <w:r>
        <w:rPr>
          <w:rFonts w:ascii="TimesNewRomanPSMT" w:hAnsi="TimesNewRomanPSMT" w:cs="TimesNewRomanPSMT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râre.</w:t>
      </w:r>
    </w:p>
    <w:p w:rsidR="00604D85" w:rsidRDefault="00604D85" w:rsidP="00604D85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Art.2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–Secretarul general al comunei Gagesti va asigura publicitatea raportului si va comunica prezenta hotarare, in termen legal,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Institutiei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Vaslui ,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Gagesti,Compartimentului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asistenta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sociala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interesate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afisare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primariei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si  </w:t>
      </w:r>
      <w:r>
        <w:rPr>
          <w:rFonts w:ascii="Times New Roman" w:hAnsi="Times New Roman" w:cs="Times New Roman"/>
          <w:sz w:val="28"/>
          <w:szCs w:val="28"/>
        </w:rPr>
        <w:t xml:space="preserve">pe pagina de internet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http://www.primaria-gagesti-vaslui.ro</w:t>
        </w:r>
      </w:hyperlink>
    </w:p>
    <w:p w:rsidR="00604D85" w:rsidRPr="00604D85" w:rsidRDefault="00604D85" w:rsidP="00604D8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604D85" w:rsidRDefault="00604D85" w:rsidP="00604D85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GAGESTI,  14 iulie  2022  </w:t>
      </w:r>
    </w:p>
    <w:p w:rsidR="00604D85" w:rsidRDefault="00604D85" w:rsidP="00604D85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p w:rsidR="00604D85" w:rsidRDefault="00604D85" w:rsidP="00604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INITIATOR ,                                                              Avizat pentru legalitate,</w:t>
      </w:r>
    </w:p>
    <w:p w:rsidR="00604D85" w:rsidRDefault="00604D85" w:rsidP="00604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Primar,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t-BR"/>
        </w:rPr>
        <w:t>Secretar general al comunei Gagesti,</w:t>
      </w:r>
    </w:p>
    <w:p w:rsidR="00604D85" w:rsidRDefault="00604D85" w:rsidP="00604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Stupu Costică                                                             Tăbăcaru Gabriela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D85" w:rsidRDefault="00604D85" w:rsidP="00604D8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604D85" w:rsidRDefault="00604D85" w:rsidP="00604D8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604D85" w:rsidRDefault="00604D85" w:rsidP="00604D8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6A4B54" w:rsidRDefault="006A4B54"/>
    <w:sectPr w:rsidR="006A4B54" w:rsidSect="00604D85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04D85"/>
    <w:rsid w:val="006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E8F1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85"/>
    <w:pPr>
      <w:spacing w:after="200" w:line="27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04D8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4D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4D85"/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-gagesti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2022-10-11T09:50:00Z</dcterms:modified>
</cp:coreProperties>
</file>